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FF4" w:rsidRDefault="003D7FF4" w:rsidP="003D7FF4">
      <w:pPr>
        <w:spacing w:before="16"/>
        <w:ind w:left="610"/>
        <w:jc w:val="center"/>
        <w:rPr>
          <w:b/>
          <w:sz w:val="32"/>
          <w:lang w:eastAsia="zh-TW"/>
        </w:rPr>
      </w:pPr>
      <w:bookmarkStart w:id="0" w:name="_GoBack"/>
      <w:bookmarkEnd w:id="0"/>
      <w:r>
        <w:rPr>
          <w:b/>
          <w:sz w:val="32"/>
          <w:lang w:eastAsia="zh-TW"/>
        </w:rPr>
        <w:t>國立政治大學僑生及港澳生新生獎助學金獎勵實施計畫</w:t>
      </w:r>
    </w:p>
    <w:p w:rsidR="003D7FF4" w:rsidRDefault="003D7FF4" w:rsidP="003D7FF4">
      <w:pPr>
        <w:spacing w:before="95"/>
        <w:ind w:right="106"/>
        <w:jc w:val="right"/>
        <w:rPr>
          <w:sz w:val="20"/>
          <w:lang w:eastAsia="zh-TW"/>
        </w:rPr>
      </w:pPr>
      <w:r>
        <w:rPr>
          <w:rFonts w:hint="eastAsia"/>
          <w:sz w:val="20"/>
          <w:lang w:eastAsia="zh-TW"/>
        </w:rPr>
        <w:t>民國109年9月8日簽奉校長核定</w:t>
      </w:r>
    </w:p>
    <w:p w:rsidR="003D7FF4" w:rsidRDefault="003D7FF4" w:rsidP="00063EFD">
      <w:pPr>
        <w:pStyle w:val="a3"/>
        <w:spacing w:beforeLines="20" w:before="48" w:afterLines="20" w:after="48" w:line="400" w:lineRule="exact"/>
        <w:ind w:leftChars="-10" w:left="425" w:right="102" w:hangingChars="168" w:hanging="447"/>
        <w:jc w:val="both"/>
        <w:rPr>
          <w:lang w:eastAsia="zh-TW"/>
        </w:rPr>
      </w:pPr>
      <w:r>
        <w:rPr>
          <w:w w:val="95"/>
          <w:lang w:eastAsia="zh-TW"/>
        </w:rPr>
        <w:t>一、國立政治大學(以下簡稱本校)為鼓勵僑生及港澳學生優秀學生至本校就讀，</w:t>
      </w:r>
      <w:r>
        <w:rPr>
          <w:lang w:eastAsia="zh-TW"/>
        </w:rPr>
        <w:t>特訂定本實施計畫。</w:t>
      </w:r>
    </w:p>
    <w:p w:rsidR="003D7FF4" w:rsidRDefault="003D7FF4" w:rsidP="00063EFD">
      <w:pPr>
        <w:pStyle w:val="a3"/>
        <w:spacing w:beforeLines="20" w:before="48" w:afterLines="20" w:after="48" w:line="400" w:lineRule="exact"/>
        <w:ind w:leftChars="-10" w:left="425" w:right="102" w:hangingChars="168" w:hanging="447"/>
        <w:jc w:val="both"/>
        <w:rPr>
          <w:lang w:eastAsia="zh-TW"/>
        </w:rPr>
      </w:pPr>
      <w:r>
        <w:rPr>
          <w:w w:val="95"/>
          <w:lang w:eastAsia="zh-TW"/>
        </w:rPr>
        <w:t>二、本實施計畫獎勵對象為經由本校僑生及港澳生學士班單獨招生及海外聯合招</w:t>
      </w:r>
      <w:r>
        <w:rPr>
          <w:lang w:eastAsia="zh-TW"/>
        </w:rPr>
        <w:t>生委員會分發入學就讀之新生。</w:t>
      </w:r>
    </w:p>
    <w:p w:rsidR="003D7FF4" w:rsidRDefault="003D7FF4" w:rsidP="00063EFD">
      <w:pPr>
        <w:pStyle w:val="a3"/>
        <w:spacing w:beforeLines="20" w:before="48" w:afterLines="20" w:after="48" w:line="400" w:lineRule="exact"/>
        <w:ind w:leftChars="-10" w:left="448" w:right="102" w:hangingChars="168" w:hanging="470"/>
        <w:jc w:val="both"/>
        <w:rPr>
          <w:lang w:eastAsia="zh-TW"/>
        </w:rPr>
      </w:pPr>
      <w:r>
        <w:rPr>
          <w:lang w:eastAsia="zh-TW"/>
        </w:rPr>
        <w:t>三、本獎助學金核給期間及補助項目如下：</w:t>
      </w:r>
    </w:p>
    <w:p w:rsidR="003D7FF4" w:rsidRDefault="003D7FF4" w:rsidP="00063EFD">
      <w:pPr>
        <w:pStyle w:val="a3"/>
        <w:spacing w:beforeLines="20" w:before="48" w:afterLines="20" w:after="48" w:line="400" w:lineRule="exact"/>
        <w:ind w:left="993" w:right="103" w:hanging="567"/>
        <w:jc w:val="both"/>
        <w:rPr>
          <w:lang w:eastAsia="zh-TW"/>
        </w:rPr>
      </w:pPr>
      <w:r>
        <w:rPr>
          <w:lang w:eastAsia="zh-TW"/>
        </w:rPr>
        <w:t>(一)核給期間：自入學學年度起，學士班計四學年、碩士班計二學年、博士班計三學年。</w:t>
      </w:r>
    </w:p>
    <w:p w:rsidR="003D7FF4" w:rsidRDefault="003D7FF4" w:rsidP="00063EFD">
      <w:pPr>
        <w:pStyle w:val="a3"/>
        <w:spacing w:beforeLines="20" w:before="48" w:afterLines="20" w:after="48" w:line="400" w:lineRule="exact"/>
        <w:ind w:left="993" w:right="103" w:hanging="567"/>
        <w:jc w:val="both"/>
      </w:pPr>
      <w:r>
        <w:t>(二)補助項目：</w:t>
      </w:r>
    </w:p>
    <w:p w:rsidR="003D7FF4" w:rsidRDefault="003D7FF4" w:rsidP="00063EFD">
      <w:pPr>
        <w:pStyle w:val="a4"/>
        <w:numPr>
          <w:ilvl w:val="0"/>
          <w:numId w:val="1"/>
        </w:numPr>
        <w:tabs>
          <w:tab w:val="left" w:pos="1533"/>
        </w:tabs>
        <w:spacing w:beforeLines="20" w:before="48" w:afterLines="20" w:after="48" w:line="400" w:lineRule="exact"/>
        <w:ind w:left="1134" w:right="101" w:hanging="141"/>
        <w:jc w:val="both"/>
        <w:rPr>
          <w:sz w:val="28"/>
          <w:lang w:eastAsia="zh-TW"/>
        </w:rPr>
      </w:pPr>
      <w:r>
        <w:rPr>
          <w:spacing w:val="3"/>
          <w:sz w:val="28"/>
          <w:lang w:eastAsia="zh-TW"/>
        </w:rPr>
        <w:t>全額獎學金：學雜費全免及每學年核發生活津貼新台幣十五萬元，</w:t>
      </w:r>
      <w:r>
        <w:rPr>
          <w:sz w:val="28"/>
          <w:lang w:eastAsia="zh-TW"/>
        </w:rPr>
        <w:t>其中學雜費由學校吸收，生活津貼由學院自籌款支應。</w:t>
      </w:r>
    </w:p>
    <w:p w:rsidR="003D7FF4" w:rsidRDefault="003D7FF4" w:rsidP="00063EFD">
      <w:pPr>
        <w:pStyle w:val="a4"/>
        <w:numPr>
          <w:ilvl w:val="0"/>
          <w:numId w:val="1"/>
        </w:numPr>
        <w:tabs>
          <w:tab w:val="left" w:pos="1533"/>
        </w:tabs>
        <w:spacing w:beforeLines="20" w:before="48" w:afterLines="20" w:after="48" w:line="400" w:lineRule="exact"/>
        <w:ind w:left="1134" w:right="101" w:hanging="141"/>
        <w:jc w:val="both"/>
        <w:rPr>
          <w:sz w:val="28"/>
          <w:lang w:eastAsia="zh-TW"/>
        </w:rPr>
      </w:pPr>
      <w:r>
        <w:rPr>
          <w:spacing w:val="3"/>
          <w:w w:val="95"/>
          <w:sz w:val="28"/>
          <w:lang w:eastAsia="zh-TW"/>
        </w:rPr>
        <w:t>半額獎學金：學雜費全免，其中一半額度由學校吸收，另一半額度</w:t>
      </w:r>
      <w:r>
        <w:rPr>
          <w:sz w:val="28"/>
          <w:lang w:eastAsia="zh-TW"/>
        </w:rPr>
        <w:t>由學院自籌款支應。</w:t>
      </w:r>
    </w:p>
    <w:p w:rsidR="003D7FF4" w:rsidRDefault="003D7FF4" w:rsidP="00063EFD">
      <w:pPr>
        <w:pStyle w:val="a3"/>
        <w:spacing w:beforeLines="20" w:before="48" w:afterLines="20" w:after="48" w:line="400" w:lineRule="exact"/>
        <w:ind w:leftChars="-10" w:left="564" w:right="107" w:hangingChars="214" w:hanging="586"/>
        <w:jc w:val="both"/>
        <w:rPr>
          <w:lang w:eastAsia="zh-TW"/>
        </w:rPr>
      </w:pPr>
      <w:r>
        <w:rPr>
          <w:spacing w:val="-6"/>
          <w:lang w:eastAsia="zh-TW"/>
        </w:rPr>
        <w:t>四、本獎助學金獎勵名額計全校</w:t>
      </w:r>
      <w:r>
        <w:rPr>
          <w:lang w:eastAsia="zh-TW"/>
        </w:rPr>
        <w:t>55</w:t>
      </w:r>
      <w:r>
        <w:rPr>
          <w:spacing w:val="-10"/>
          <w:lang w:eastAsia="zh-TW"/>
        </w:rPr>
        <w:t>名，依各學院僑生及港澳生在籍人數比例計算各學院名額，各學制及各招生管道名額由學院自訂。</w:t>
      </w:r>
    </w:p>
    <w:p w:rsidR="003D7FF4" w:rsidRDefault="003D7FF4" w:rsidP="00063EFD">
      <w:pPr>
        <w:pStyle w:val="a3"/>
        <w:spacing w:beforeLines="20" w:before="48" w:afterLines="20" w:after="48" w:line="400" w:lineRule="exact"/>
        <w:ind w:leftChars="-10" w:left="547" w:right="107" w:hangingChars="214" w:hanging="569"/>
        <w:jc w:val="both"/>
        <w:rPr>
          <w:lang w:eastAsia="zh-TW"/>
        </w:rPr>
      </w:pPr>
      <w:r>
        <w:rPr>
          <w:w w:val="95"/>
          <w:lang w:eastAsia="zh-TW"/>
        </w:rPr>
        <w:t>五、本項獎助學金之審查由各學院組成審查委員會，核定獲獎名單，審查標準由學</w:t>
      </w:r>
      <w:r>
        <w:rPr>
          <w:lang w:eastAsia="zh-TW"/>
        </w:rPr>
        <w:t>院訂定。獲獎學生未能於當學年度註冊入學者，取消其獲獎資格。</w:t>
      </w:r>
    </w:p>
    <w:p w:rsidR="00063EFD" w:rsidRDefault="003D7FF4" w:rsidP="00063EFD">
      <w:pPr>
        <w:pStyle w:val="a3"/>
        <w:spacing w:beforeLines="20" w:before="48" w:afterLines="20" w:after="48" w:line="400" w:lineRule="exact"/>
        <w:ind w:leftChars="-10" w:left="547" w:right="107" w:hangingChars="214" w:hanging="569"/>
        <w:jc w:val="both"/>
        <w:rPr>
          <w:w w:val="95"/>
          <w:lang w:eastAsia="zh-TW"/>
        </w:rPr>
      </w:pPr>
      <w:r>
        <w:rPr>
          <w:w w:val="95"/>
          <w:lang w:eastAsia="zh-TW"/>
        </w:rPr>
        <w:t>六、獲獎生於就讀期間有下列情形之一者，取消其資格：</w:t>
      </w:r>
    </w:p>
    <w:p w:rsidR="003D7FF4" w:rsidRDefault="003D7FF4" w:rsidP="00063EFD">
      <w:pPr>
        <w:pStyle w:val="a3"/>
        <w:spacing w:beforeLines="20" w:before="48" w:afterLines="20" w:after="48" w:line="400" w:lineRule="exact"/>
        <w:ind w:leftChars="142" w:left="572" w:right="107" w:hangingChars="93" w:hanging="260"/>
        <w:jc w:val="both"/>
        <w:rPr>
          <w:rFonts w:ascii="新細明體" w:eastAsia="新細明體"/>
          <w:lang w:eastAsia="zh-TW"/>
        </w:rPr>
      </w:pPr>
      <w:r>
        <w:rPr>
          <w:lang w:eastAsia="zh-TW"/>
        </w:rPr>
        <w:t>(一)休學、保留學籍、退學</w:t>
      </w:r>
      <w:r>
        <w:rPr>
          <w:rFonts w:ascii="新細明體" w:eastAsia="新細明體" w:hint="eastAsia"/>
          <w:lang w:eastAsia="zh-TW"/>
        </w:rPr>
        <w:t>。</w:t>
      </w:r>
    </w:p>
    <w:p w:rsidR="003D7FF4" w:rsidRDefault="003D7FF4" w:rsidP="00063EFD">
      <w:pPr>
        <w:pStyle w:val="a3"/>
        <w:spacing w:beforeLines="20" w:before="48" w:afterLines="20" w:after="48" w:line="400" w:lineRule="exact"/>
        <w:ind w:leftChars="142" w:left="560" w:right="107" w:hangingChars="93" w:hanging="248"/>
        <w:jc w:val="both"/>
        <w:rPr>
          <w:rFonts w:ascii="新細明體" w:eastAsia="新細明體"/>
          <w:lang w:eastAsia="zh-TW"/>
        </w:rPr>
      </w:pPr>
      <w:r>
        <w:rPr>
          <w:spacing w:val="1"/>
          <w:w w:val="95"/>
          <w:lang w:eastAsia="zh-TW"/>
        </w:rPr>
        <w:t>(二)入學後第二學期開始，前一學期學業平均成績及操行成績未達學院規</w:t>
      </w:r>
      <w:r>
        <w:rPr>
          <w:lang w:eastAsia="zh-TW"/>
        </w:rPr>
        <w:t>定</w:t>
      </w:r>
      <w:r>
        <w:rPr>
          <w:rFonts w:ascii="新細明體" w:eastAsia="新細明體" w:hint="eastAsia"/>
          <w:lang w:eastAsia="zh-TW"/>
        </w:rPr>
        <w:t>。</w:t>
      </w:r>
    </w:p>
    <w:p w:rsidR="003D7FF4" w:rsidRDefault="003D7FF4" w:rsidP="00063EFD">
      <w:pPr>
        <w:pStyle w:val="a3"/>
        <w:spacing w:beforeLines="20" w:before="48" w:afterLines="20" w:after="48" w:line="400" w:lineRule="exact"/>
        <w:ind w:leftChars="142" w:left="572" w:right="107" w:hangingChars="93" w:hanging="260"/>
        <w:jc w:val="both"/>
        <w:rPr>
          <w:lang w:eastAsia="zh-TW"/>
        </w:rPr>
      </w:pPr>
      <w:r>
        <w:rPr>
          <w:lang w:eastAsia="zh-TW"/>
        </w:rPr>
        <w:t>(三)未符合學院其他規定者。</w:t>
      </w:r>
    </w:p>
    <w:p w:rsidR="003D7FF4" w:rsidRDefault="003D7FF4" w:rsidP="00063EFD">
      <w:pPr>
        <w:pStyle w:val="a3"/>
        <w:spacing w:beforeLines="20" w:before="48" w:afterLines="20" w:after="48" w:line="400" w:lineRule="exact"/>
        <w:ind w:leftChars="-10" w:left="547" w:right="107" w:hangingChars="214" w:hanging="569"/>
        <w:jc w:val="both"/>
        <w:rPr>
          <w:lang w:eastAsia="zh-TW"/>
        </w:rPr>
      </w:pPr>
      <w:r>
        <w:rPr>
          <w:w w:val="95"/>
          <w:lang w:eastAsia="zh-TW"/>
        </w:rPr>
        <w:t>七、獲獎生入學後各學期續領評核，由學院每學期開學前一個月內辦理。學生須檢</w:t>
      </w:r>
      <w:r>
        <w:rPr>
          <w:lang w:eastAsia="zh-TW"/>
        </w:rPr>
        <w:t>具前一學期成績單、操行成績證明及續領申請書，向各學院提出申請。</w:t>
      </w:r>
    </w:p>
    <w:p w:rsidR="003D7FF4" w:rsidRDefault="003D7FF4" w:rsidP="00063EFD">
      <w:pPr>
        <w:pStyle w:val="a3"/>
        <w:spacing w:beforeLines="20" w:before="48" w:afterLines="20" w:after="48" w:line="400" w:lineRule="exact"/>
        <w:ind w:leftChars="-10" w:left="547" w:right="107" w:hangingChars="214" w:hanging="569"/>
        <w:jc w:val="both"/>
        <w:rPr>
          <w:lang w:eastAsia="zh-TW"/>
        </w:rPr>
      </w:pPr>
      <w:r>
        <w:rPr>
          <w:w w:val="95"/>
          <w:lang w:eastAsia="zh-TW"/>
        </w:rPr>
        <w:t>八、獲本獎助學金之學生，經查有偽造或不實情事，由本校撤銷其獲獎資格，已領</w:t>
      </w:r>
      <w:r>
        <w:rPr>
          <w:lang w:eastAsia="zh-TW"/>
        </w:rPr>
        <w:t>取之獎學金應予繳回，並依情節追究相關責任。</w:t>
      </w:r>
    </w:p>
    <w:p w:rsidR="00063EFD" w:rsidRDefault="003D7FF4" w:rsidP="00063EFD">
      <w:pPr>
        <w:pStyle w:val="a3"/>
        <w:spacing w:beforeLines="20" w:before="48" w:afterLines="20" w:after="48" w:line="400" w:lineRule="exact"/>
        <w:ind w:leftChars="-10" w:left="547" w:right="107" w:hangingChars="214" w:hanging="569"/>
        <w:jc w:val="both"/>
        <w:rPr>
          <w:w w:val="95"/>
          <w:lang w:eastAsia="zh-TW"/>
        </w:rPr>
      </w:pPr>
      <w:r>
        <w:rPr>
          <w:w w:val="95"/>
          <w:lang w:eastAsia="zh-TW"/>
        </w:rPr>
        <w:t>九、本獎助學金如有未盡事宜，悉依相關規定辦理。</w:t>
      </w:r>
    </w:p>
    <w:p w:rsidR="003D7FF4" w:rsidRDefault="003D7FF4" w:rsidP="00063EFD">
      <w:pPr>
        <w:pStyle w:val="a3"/>
        <w:spacing w:beforeLines="20" w:before="48" w:afterLines="20" w:after="48" w:line="400" w:lineRule="exact"/>
        <w:ind w:leftChars="-10" w:left="547" w:right="107" w:hangingChars="214" w:hanging="569"/>
        <w:jc w:val="both"/>
        <w:rPr>
          <w:lang w:eastAsia="zh-TW"/>
        </w:rPr>
      </w:pPr>
      <w:r>
        <w:rPr>
          <w:w w:val="95"/>
          <w:lang w:eastAsia="zh-TW"/>
        </w:rPr>
        <w:t>十、本實施計畫經校長核定後施行，修正時亦同。</w:t>
      </w:r>
    </w:p>
    <w:p w:rsidR="00EF5BC0" w:rsidRPr="003D7FF4" w:rsidRDefault="00EF5BC0" w:rsidP="00A87418">
      <w:pPr>
        <w:spacing w:before="12"/>
        <w:ind w:left="1493" w:right="1569"/>
        <w:jc w:val="center"/>
        <w:rPr>
          <w:rFonts w:ascii="新細明體" w:eastAsia="新細明體"/>
          <w:lang w:eastAsia="zh-TW"/>
        </w:rPr>
      </w:pPr>
    </w:p>
    <w:sectPr w:rsidR="00EF5BC0" w:rsidRPr="003D7FF4">
      <w:pgSz w:w="11910" w:h="16840"/>
      <w:pgMar w:top="820" w:right="94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5CA" w:rsidRDefault="00C575CA" w:rsidP="00A87418">
      <w:r>
        <w:separator/>
      </w:r>
    </w:p>
  </w:endnote>
  <w:endnote w:type="continuationSeparator" w:id="0">
    <w:p w:rsidR="00C575CA" w:rsidRDefault="00C575CA" w:rsidP="00A87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5CA" w:rsidRDefault="00C575CA" w:rsidP="00A87418">
      <w:r>
        <w:separator/>
      </w:r>
    </w:p>
  </w:footnote>
  <w:footnote w:type="continuationSeparator" w:id="0">
    <w:p w:rsidR="00C575CA" w:rsidRDefault="00C575CA" w:rsidP="00A8741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11922"/>
    <w:multiLevelType w:val="hybridMultilevel"/>
    <w:tmpl w:val="B04E423A"/>
    <w:lvl w:ilvl="0" w:tplc="04090015">
      <w:start w:val="1"/>
      <w:numFmt w:val="taiwaneseCountingThousand"/>
      <w:lvlText w:val="%1、"/>
      <w:lvlJc w:val="left"/>
      <w:pPr>
        <w:ind w:left="613" w:hanging="480"/>
      </w:pPr>
    </w:lvl>
    <w:lvl w:ilvl="1" w:tplc="04090019" w:tentative="1">
      <w:start w:val="1"/>
      <w:numFmt w:val="ideographTraditional"/>
      <w:lvlText w:val="%2、"/>
      <w:lvlJc w:val="left"/>
      <w:pPr>
        <w:ind w:left="1093" w:hanging="480"/>
      </w:pPr>
    </w:lvl>
    <w:lvl w:ilvl="2" w:tplc="0409001B" w:tentative="1">
      <w:start w:val="1"/>
      <w:numFmt w:val="lowerRoman"/>
      <w:lvlText w:val="%3."/>
      <w:lvlJc w:val="right"/>
      <w:pPr>
        <w:ind w:left="1573" w:hanging="480"/>
      </w:pPr>
    </w:lvl>
    <w:lvl w:ilvl="3" w:tplc="0409000F" w:tentative="1">
      <w:start w:val="1"/>
      <w:numFmt w:val="decimal"/>
      <w:lvlText w:val="%4."/>
      <w:lvlJc w:val="left"/>
      <w:pPr>
        <w:ind w:left="2053" w:hanging="480"/>
      </w:pPr>
    </w:lvl>
    <w:lvl w:ilvl="4" w:tplc="04090019" w:tentative="1">
      <w:start w:val="1"/>
      <w:numFmt w:val="ideographTraditional"/>
      <w:lvlText w:val="%5、"/>
      <w:lvlJc w:val="left"/>
      <w:pPr>
        <w:ind w:left="2533" w:hanging="480"/>
      </w:pPr>
    </w:lvl>
    <w:lvl w:ilvl="5" w:tplc="0409001B" w:tentative="1">
      <w:start w:val="1"/>
      <w:numFmt w:val="lowerRoman"/>
      <w:lvlText w:val="%6."/>
      <w:lvlJc w:val="right"/>
      <w:pPr>
        <w:ind w:left="3013" w:hanging="480"/>
      </w:pPr>
    </w:lvl>
    <w:lvl w:ilvl="6" w:tplc="0409000F" w:tentative="1">
      <w:start w:val="1"/>
      <w:numFmt w:val="decimal"/>
      <w:lvlText w:val="%7."/>
      <w:lvlJc w:val="left"/>
      <w:pPr>
        <w:ind w:left="3493" w:hanging="480"/>
      </w:pPr>
    </w:lvl>
    <w:lvl w:ilvl="7" w:tplc="04090019" w:tentative="1">
      <w:start w:val="1"/>
      <w:numFmt w:val="ideographTraditional"/>
      <w:lvlText w:val="%8、"/>
      <w:lvlJc w:val="left"/>
      <w:pPr>
        <w:ind w:left="3973" w:hanging="480"/>
      </w:pPr>
    </w:lvl>
    <w:lvl w:ilvl="8" w:tplc="0409001B" w:tentative="1">
      <w:start w:val="1"/>
      <w:numFmt w:val="lowerRoman"/>
      <w:lvlText w:val="%9."/>
      <w:lvlJc w:val="right"/>
      <w:pPr>
        <w:ind w:left="4453" w:hanging="480"/>
      </w:pPr>
    </w:lvl>
  </w:abstractNum>
  <w:abstractNum w:abstractNumId="1" w15:restartNumberingAfterBreak="0">
    <w:nsid w:val="0A4353C0"/>
    <w:multiLevelType w:val="hybridMultilevel"/>
    <w:tmpl w:val="747C1E86"/>
    <w:lvl w:ilvl="0" w:tplc="6F521B2A">
      <w:start w:val="1"/>
      <w:numFmt w:val="decimal"/>
      <w:suff w:val="nothing"/>
      <w:lvlText w:val="%1."/>
      <w:lvlJc w:val="left"/>
      <w:pPr>
        <w:ind w:left="1532" w:hanging="285"/>
      </w:pPr>
      <w:rPr>
        <w:rFonts w:ascii="Times New Roman" w:eastAsia="新細明體" w:hAnsi="Times New Roman" w:cs="Times New Roman" w:hint="default"/>
        <w:w w:val="98"/>
        <w:sz w:val="28"/>
        <w:szCs w:val="28"/>
      </w:rPr>
    </w:lvl>
    <w:lvl w:ilvl="1" w:tplc="DE54BA48">
      <w:numFmt w:val="bullet"/>
      <w:lvlText w:val="•"/>
      <w:lvlJc w:val="left"/>
      <w:pPr>
        <w:ind w:left="2372" w:hanging="285"/>
      </w:pPr>
      <w:rPr>
        <w:rFonts w:hint="default"/>
      </w:rPr>
    </w:lvl>
    <w:lvl w:ilvl="2" w:tplc="0CE88080">
      <w:numFmt w:val="bullet"/>
      <w:lvlText w:val="•"/>
      <w:lvlJc w:val="left"/>
      <w:pPr>
        <w:ind w:left="3204" w:hanging="285"/>
      </w:pPr>
      <w:rPr>
        <w:rFonts w:hint="default"/>
      </w:rPr>
    </w:lvl>
    <w:lvl w:ilvl="3" w:tplc="32762D50">
      <w:numFmt w:val="bullet"/>
      <w:lvlText w:val="•"/>
      <w:lvlJc w:val="left"/>
      <w:pPr>
        <w:ind w:left="4037" w:hanging="285"/>
      </w:pPr>
      <w:rPr>
        <w:rFonts w:hint="default"/>
      </w:rPr>
    </w:lvl>
    <w:lvl w:ilvl="4" w:tplc="E53815C2">
      <w:numFmt w:val="bullet"/>
      <w:lvlText w:val="•"/>
      <w:lvlJc w:val="left"/>
      <w:pPr>
        <w:ind w:left="4869" w:hanging="285"/>
      </w:pPr>
      <w:rPr>
        <w:rFonts w:hint="default"/>
      </w:rPr>
    </w:lvl>
    <w:lvl w:ilvl="5" w:tplc="15584730">
      <w:numFmt w:val="bullet"/>
      <w:lvlText w:val="•"/>
      <w:lvlJc w:val="left"/>
      <w:pPr>
        <w:ind w:left="5702" w:hanging="285"/>
      </w:pPr>
      <w:rPr>
        <w:rFonts w:hint="default"/>
      </w:rPr>
    </w:lvl>
    <w:lvl w:ilvl="6" w:tplc="8A5A22F6">
      <w:numFmt w:val="bullet"/>
      <w:lvlText w:val="•"/>
      <w:lvlJc w:val="left"/>
      <w:pPr>
        <w:ind w:left="6534" w:hanging="285"/>
      </w:pPr>
      <w:rPr>
        <w:rFonts w:hint="default"/>
      </w:rPr>
    </w:lvl>
    <w:lvl w:ilvl="7" w:tplc="8D789F3A">
      <w:numFmt w:val="bullet"/>
      <w:lvlText w:val="•"/>
      <w:lvlJc w:val="left"/>
      <w:pPr>
        <w:ind w:left="7367" w:hanging="285"/>
      </w:pPr>
      <w:rPr>
        <w:rFonts w:hint="default"/>
      </w:rPr>
    </w:lvl>
    <w:lvl w:ilvl="8" w:tplc="0A641FAC">
      <w:numFmt w:val="bullet"/>
      <w:lvlText w:val="•"/>
      <w:lvlJc w:val="left"/>
      <w:pPr>
        <w:ind w:left="8199" w:hanging="285"/>
      </w:pPr>
      <w:rPr>
        <w:rFonts w:hint="default"/>
      </w:rPr>
    </w:lvl>
  </w:abstractNum>
  <w:abstractNum w:abstractNumId="2" w15:restartNumberingAfterBreak="0">
    <w:nsid w:val="3A0B706B"/>
    <w:multiLevelType w:val="hybridMultilevel"/>
    <w:tmpl w:val="DB469EC6"/>
    <w:lvl w:ilvl="0" w:tplc="B5109342">
      <w:start w:val="1"/>
      <w:numFmt w:val="taiwaneseCountingThousand"/>
      <w:suff w:val="nothing"/>
      <w:lvlText w:val="%1、"/>
      <w:lvlJc w:val="left"/>
      <w:pPr>
        <w:ind w:left="1713" w:hanging="720"/>
      </w:pPr>
      <w:rPr>
        <w:rFonts w:ascii="標楷體" w:eastAsia="標楷體" w:hAnsi="標楷體"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 w15:restartNumberingAfterBreak="0">
    <w:nsid w:val="3AD9656C"/>
    <w:multiLevelType w:val="hybridMultilevel"/>
    <w:tmpl w:val="81C259D8"/>
    <w:lvl w:ilvl="0" w:tplc="1744D330">
      <w:start w:val="1"/>
      <w:numFmt w:val="taiwaneseCountingThousand"/>
      <w:suff w:val="nothing"/>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BC0"/>
    <w:rsid w:val="00063EFD"/>
    <w:rsid w:val="001A6AC3"/>
    <w:rsid w:val="002159CC"/>
    <w:rsid w:val="003D7FF4"/>
    <w:rsid w:val="00462AEB"/>
    <w:rsid w:val="006533CD"/>
    <w:rsid w:val="00736E27"/>
    <w:rsid w:val="0078017C"/>
    <w:rsid w:val="007E57B4"/>
    <w:rsid w:val="008B6A35"/>
    <w:rsid w:val="009E4476"/>
    <w:rsid w:val="00A21875"/>
    <w:rsid w:val="00A87418"/>
    <w:rsid w:val="00C575CA"/>
    <w:rsid w:val="00D420B7"/>
    <w:rsid w:val="00D91B1B"/>
    <w:rsid w:val="00EB3F9D"/>
    <w:rsid w:val="00EB6A9A"/>
    <w:rsid w:val="00EC1F16"/>
    <w:rsid w:val="00EE1F63"/>
    <w:rsid w:val="00EF5B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57F04F-6E09-4BF5-A01E-B4E9C2E06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標楷體" w:eastAsia="標楷體" w:hAnsi="標楷體" w:cs="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99"/>
    </w:pPr>
    <w:rPr>
      <w:sz w:val="28"/>
      <w:szCs w:val="28"/>
    </w:rPr>
  </w:style>
  <w:style w:type="paragraph" w:styleId="a4">
    <w:name w:val="List Paragraph"/>
    <w:basedOn w:val="a"/>
    <w:uiPriority w:val="34"/>
    <w:qFormat/>
  </w:style>
  <w:style w:type="paragraph" w:customStyle="1" w:styleId="TableParagraph">
    <w:name w:val="Table Paragraph"/>
    <w:basedOn w:val="a"/>
    <w:uiPriority w:val="1"/>
    <w:qFormat/>
  </w:style>
  <w:style w:type="paragraph" w:styleId="a5">
    <w:name w:val="header"/>
    <w:basedOn w:val="a"/>
    <w:link w:val="a6"/>
    <w:uiPriority w:val="99"/>
    <w:unhideWhenUsed/>
    <w:rsid w:val="00A87418"/>
    <w:pPr>
      <w:tabs>
        <w:tab w:val="center" w:pos="4153"/>
        <w:tab w:val="right" w:pos="8306"/>
      </w:tabs>
      <w:snapToGrid w:val="0"/>
    </w:pPr>
    <w:rPr>
      <w:sz w:val="20"/>
      <w:szCs w:val="20"/>
    </w:rPr>
  </w:style>
  <w:style w:type="character" w:customStyle="1" w:styleId="a6">
    <w:name w:val="頁首 字元"/>
    <w:basedOn w:val="a0"/>
    <w:link w:val="a5"/>
    <w:uiPriority w:val="99"/>
    <w:rsid w:val="00A87418"/>
    <w:rPr>
      <w:rFonts w:ascii="標楷體" w:eastAsia="標楷體" w:hAnsi="標楷體" w:cs="標楷體"/>
      <w:sz w:val="20"/>
      <w:szCs w:val="20"/>
    </w:rPr>
  </w:style>
  <w:style w:type="paragraph" w:styleId="a7">
    <w:name w:val="footer"/>
    <w:basedOn w:val="a"/>
    <w:link w:val="a8"/>
    <w:uiPriority w:val="99"/>
    <w:unhideWhenUsed/>
    <w:rsid w:val="00A87418"/>
    <w:pPr>
      <w:tabs>
        <w:tab w:val="center" w:pos="4153"/>
        <w:tab w:val="right" w:pos="8306"/>
      </w:tabs>
      <w:snapToGrid w:val="0"/>
    </w:pPr>
    <w:rPr>
      <w:sz w:val="20"/>
      <w:szCs w:val="20"/>
    </w:rPr>
  </w:style>
  <w:style w:type="character" w:customStyle="1" w:styleId="a8">
    <w:name w:val="頁尾 字元"/>
    <w:basedOn w:val="a0"/>
    <w:link w:val="a7"/>
    <w:uiPriority w:val="99"/>
    <w:rsid w:val="00A87418"/>
    <w:rPr>
      <w:rFonts w:ascii="標楷體" w:eastAsia="標楷體" w:hAnsi="標楷體" w:cs="標楷體"/>
      <w:sz w:val="20"/>
      <w:szCs w:val="20"/>
    </w:rPr>
  </w:style>
  <w:style w:type="paragraph" w:styleId="a9">
    <w:name w:val="Balloon Text"/>
    <w:basedOn w:val="a"/>
    <w:link w:val="aa"/>
    <w:uiPriority w:val="99"/>
    <w:semiHidden/>
    <w:unhideWhenUsed/>
    <w:rsid w:val="009E447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E44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2020-11-30T00:58:00Z</cp:lastPrinted>
  <dcterms:created xsi:type="dcterms:W3CDTF">2020-12-25T05:18:00Z</dcterms:created>
  <dcterms:modified xsi:type="dcterms:W3CDTF">2020-12-25T05:18:00Z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2020-06-16T00:00:00Z</vt:filetime>
  </property>
  <property fmtid="{D5CDD505-2E9C-101B-9397-08002B2CF9AE}" pid="3" name="Creator">
    <vt:lpwstr>PScript5.dll Version 5.2.2</vt:lpwstr>
  </property>
  <property fmtid="{D5CDD505-2E9C-101B-9397-08002B2CF9AE}" pid="4" name="LastSaved">
    <vt:filetime>2020-11-09T00:00:00Z</vt:filetime>
  </property>
</Properties>
</file>